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DA05" w14:textId="2ADFAFDD"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r w:rsidR="006D5B8F">
        <w:rPr>
          <w:rFonts w:asciiTheme="minorHAnsi" w:eastAsia="Arial Narrow" w:hAnsiTheme="minorHAnsi" w:cstheme="minorHAnsi"/>
          <w:sz w:val="32"/>
          <w:szCs w:val="32"/>
        </w:rPr>
        <w:t xml:space="preserve"> Międzylesie</w:t>
      </w:r>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14:paraId="0D91EAD4" w14:textId="77777777" w:rsidTr="006756D0">
        <w:tc>
          <w:tcPr>
            <w:tcW w:w="7508" w:type="dxa"/>
            <w:shd w:val="clear" w:color="auto" w:fill="BFBFBF" w:themeFill="background1" w:themeFillShade="BF"/>
          </w:tcPr>
          <w:p w14:paraId="00F57DB1" w14:textId="3BED00E8"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p>
        </w:tc>
        <w:tc>
          <w:tcPr>
            <w:tcW w:w="7796"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14:paraId="0D16ECC5" w14:textId="77777777" w:rsidTr="006756D0">
        <w:tc>
          <w:tcPr>
            <w:tcW w:w="7508" w:type="dxa"/>
            <w:shd w:val="clear" w:color="auto" w:fill="auto"/>
          </w:tcPr>
          <w:p w14:paraId="13973BA4" w14:textId="38450ED9" w:rsidR="000B499E" w:rsidRPr="00CD5C7C" w:rsidRDefault="000B499E" w:rsidP="00AF7CDC">
            <w:pPr>
              <w:rPr>
                <w:rFonts w:asciiTheme="minorHAnsi" w:hAnsiTheme="minorHAnsi" w:cstheme="minorHAnsi"/>
                <w:b/>
                <w:bCs/>
                <w:sz w:val="20"/>
                <w:szCs w:val="20"/>
              </w:rPr>
            </w:pPr>
            <w:r w:rsidRPr="00CD5C7C">
              <w:rPr>
                <w:rFonts w:asciiTheme="minorHAnsi" w:hAnsiTheme="minorHAnsi" w:cstheme="minorHAnsi"/>
                <w:b/>
                <w:bCs/>
                <w:sz w:val="20"/>
                <w:szCs w:val="20"/>
              </w:rPr>
              <w:t xml:space="preserve">Nadleśnictwo </w:t>
            </w:r>
            <w:r w:rsidR="006D5B8F" w:rsidRPr="00CD5C7C">
              <w:rPr>
                <w:rFonts w:asciiTheme="minorHAnsi" w:hAnsiTheme="minorHAnsi" w:cstheme="minorHAnsi"/>
                <w:b/>
                <w:bCs/>
                <w:sz w:val="20"/>
                <w:szCs w:val="20"/>
              </w:rPr>
              <w:t>Międ</w:t>
            </w:r>
            <w:r w:rsidR="007E1677" w:rsidRPr="00CD5C7C">
              <w:rPr>
                <w:rFonts w:asciiTheme="minorHAnsi" w:hAnsiTheme="minorHAnsi" w:cstheme="minorHAnsi"/>
                <w:b/>
                <w:bCs/>
                <w:sz w:val="20"/>
                <w:szCs w:val="20"/>
              </w:rPr>
              <w:t>z</w:t>
            </w:r>
            <w:r w:rsidR="006D5B8F" w:rsidRPr="00CD5C7C">
              <w:rPr>
                <w:rFonts w:asciiTheme="minorHAnsi" w:hAnsiTheme="minorHAnsi" w:cstheme="minorHAnsi"/>
                <w:b/>
                <w:bCs/>
                <w:sz w:val="20"/>
                <w:szCs w:val="20"/>
              </w:rPr>
              <w:t>ylesie</w:t>
            </w:r>
            <w:r w:rsidR="007E1677" w:rsidRPr="00CD5C7C">
              <w:rPr>
                <w:rFonts w:asciiTheme="minorHAnsi" w:hAnsiTheme="minorHAnsi" w:cstheme="minorHAnsi"/>
                <w:b/>
                <w:bCs/>
                <w:sz w:val="20"/>
                <w:szCs w:val="20"/>
              </w:rPr>
              <w:t xml:space="preserve"> </w:t>
            </w:r>
            <w:r w:rsidR="00CD5C7C" w:rsidRPr="00CD5C7C">
              <w:rPr>
                <w:rFonts w:asciiTheme="minorHAnsi" w:hAnsiTheme="minorHAnsi" w:cstheme="minorHAnsi"/>
                <w:sz w:val="20"/>
                <w:szCs w:val="20"/>
              </w:rPr>
              <w:t>z</w:t>
            </w:r>
            <w:r w:rsidR="00CD5C7C" w:rsidRPr="00CD5C7C">
              <w:rPr>
                <w:rFonts w:asciiTheme="minorHAnsi" w:hAnsiTheme="minorHAnsi" w:cstheme="minorHAnsi"/>
                <w:b/>
                <w:bCs/>
                <w:sz w:val="20"/>
                <w:szCs w:val="20"/>
              </w:rPr>
              <w:t xml:space="preserve"> </w:t>
            </w:r>
            <w:r w:rsidR="007E1677" w:rsidRPr="00CD5C7C">
              <w:rPr>
                <w:rFonts w:asciiTheme="minorHAnsi" w:hAnsiTheme="minorHAnsi" w:cstheme="minorHAnsi"/>
                <w:sz w:val="20"/>
                <w:szCs w:val="20"/>
              </w:rPr>
              <w:t>siedzibą</w:t>
            </w:r>
            <w:r w:rsidR="001E675F" w:rsidRPr="00CD5C7C">
              <w:rPr>
                <w:rFonts w:asciiTheme="minorHAnsi" w:hAnsiTheme="minorHAnsi" w:cstheme="minorHAnsi"/>
                <w:sz w:val="20"/>
                <w:szCs w:val="20"/>
              </w:rPr>
              <w:t xml:space="preserve"> </w:t>
            </w:r>
            <w:r w:rsidR="007E1677" w:rsidRPr="00CD5C7C">
              <w:rPr>
                <w:rFonts w:asciiTheme="minorHAnsi" w:hAnsiTheme="minorHAnsi" w:cstheme="minorHAnsi"/>
                <w:sz w:val="20"/>
                <w:szCs w:val="20"/>
              </w:rPr>
              <w:t>przy ul.</w:t>
            </w:r>
            <w:r w:rsidR="006D5B8F" w:rsidRPr="00CD5C7C">
              <w:rPr>
                <w:rFonts w:asciiTheme="minorHAnsi" w:hAnsiTheme="minorHAnsi" w:cstheme="minorHAnsi"/>
                <w:sz w:val="20"/>
                <w:szCs w:val="20"/>
              </w:rPr>
              <w:t xml:space="preserve">  Tysiąclecia Państwa Polskiego 7, 57-530 Międzylesie</w:t>
            </w:r>
            <w:r w:rsidR="006D5B8F" w:rsidRPr="00CD5C7C">
              <w:rPr>
                <w:rFonts w:cstheme="minorHAnsi"/>
                <w:sz w:val="20"/>
                <w:szCs w:val="20"/>
              </w:rPr>
              <w:t xml:space="preserve">, </w:t>
            </w:r>
            <w:r w:rsidR="007E1677" w:rsidRPr="00CD5C7C">
              <w:rPr>
                <w:rFonts w:asciiTheme="minorHAnsi" w:hAnsiTheme="minorHAnsi" w:cstheme="minorHAnsi"/>
                <w:b/>
                <w:bCs/>
                <w:sz w:val="20"/>
                <w:szCs w:val="20"/>
              </w:rPr>
              <w:t xml:space="preserve"> adres e-mail:</w:t>
            </w:r>
            <w:r w:rsidR="007E1677" w:rsidRPr="00CD5C7C">
              <w:rPr>
                <w:rFonts w:asciiTheme="minorHAnsi" w:hAnsiTheme="minorHAnsi" w:cstheme="minorHAnsi"/>
                <w:b/>
                <w:bCs/>
                <w:i/>
                <w:iCs/>
                <w:color w:val="auto"/>
                <w:sz w:val="20"/>
                <w:szCs w:val="20"/>
              </w:rPr>
              <w:t xml:space="preserve"> </w:t>
            </w:r>
            <w:hyperlink r:id="rId10" w:history="1">
              <w:r w:rsidR="006D5B8F" w:rsidRPr="00CD5C7C">
                <w:rPr>
                  <w:rStyle w:val="Hipercze"/>
                  <w:rFonts w:asciiTheme="minorHAnsi" w:hAnsiTheme="minorHAnsi" w:cstheme="minorHAnsi"/>
                  <w:sz w:val="20"/>
                  <w:szCs w:val="20"/>
                </w:rPr>
                <w:t>miedzylesie@wroclaw.lasy.gov.pl</w:t>
              </w:r>
            </w:hyperlink>
          </w:p>
        </w:tc>
        <w:tc>
          <w:tcPr>
            <w:tcW w:w="7796" w:type="dxa"/>
            <w:shd w:val="clear" w:color="auto" w:fill="auto"/>
          </w:tcPr>
          <w:p w14:paraId="394BD59B" w14:textId="62E9A37C" w:rsidR="00092359" w:rsidRDefault="005A3ABB" w:rsidP="00BF425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Kontakt do Inspektora Ochrony </w:t>
            </w:r>
            <w:r w:rsidRPr="006902C0">
              <w:rPr>
                <w:rStyle w:val="Pogrubienie"/>
                <w:rFonts w:asciiTheme="minorHAnsi" w:eastAsia="Arial Narrow" w:hAnsiTheme="minorHAnsi" w:cstheme="minorHAnsi"/>
                <w:sz w:val="20"/>
                <w:szCs w:val="20"/>
              </w:rPr>
              <w:t xml:space="preserve">Danych: </w:t>
            </w:r>
            <w:r w:rsidR="006902C0" w:rsidRPr="006902C0">
              <w:rPr>
                <w:rStyle w:val="Pogrubienie"/>
                <w:rFonts w:asciiTheme="minorHAnsi" w:eastAsia="Arial Narrow" w:hAnsiTheme="minorHAnsi" w:cstheme="minorHAnsi"/>
                <w:sz w:val="20"/>
                <w:szCs w:val="20"/>
              </w:rPr>
              <w:t>iod@comp-net.pl</w:t>
            </w:r>
          </w:p>
          <w:p w14:paraId="2BD7B3BC" w14:textId="3831AEBA" w:rsidR="005A3ABB" w:rsidRPr="00DE07B2" w:rsidRDefault="005A3ABB" w:rsidP="009B454D">
            <w:pPr>
              <w:pStyle w:val="NormalnyWeb"/>
              <w:ind w:left="127"/>
              <w:rPr>
                <w:rStyle w:val="Pogrubienie"/>
                <w:rFonts w:asciiTheme="minorHAnsi" w:eastAsia="Arial Narrow" w:hAnsiTheme="minorHAnsi" w:cstheme="minorHAnsi"/>
                <w:sz w:val="20"/>
                <w:szCs w:val="20"/>
              </w:rPr>
            </w:pPr>
          </w:p>
        </w:tc>
      </w:tr>
      <w:tr w:rsidR="00814A00" w:rsidRPr="00DE07B2" w14:paraId="53C5F3AE" w14:textId="77777777" w:rsidTr="006756D0">
        <w:tc>
          <w:tcPr>
            <w:tcW w:w="7508" w:type="dxa"/>
            <w:shd w:val="clear" w:color="auto" w:fill="BFBFBF" w:themeFill="background1" w:themeFillShade="BF"/>
            <w:hideMark/>
          </w:tcPr>
          <w:p w14:paraId="0FBC07E4" w14:textId="7B1D59C7"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14:paraId="555A3671" w14:textId="77777777" w:rsidTr="007232B2">
        <w:trPr>
          <w:trHeight w:val="3598"/>
        </w:trPr>
        <w:tc>
          <w:tcPr>
            <w:tcW w:w="7508" w:type="dxa"/>
            <w:hideMark/>
          </w:tcPr>
          <w:p w14:paraId="3AA9E930" w14:textId="23B16019"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14:paraId="083B26CC" w14:textId="7C627BA7"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14:paraId="2CD82A64" w14:textId="6B279BC3"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proofErr w:type="spellStart"/>
            <w:r w:rsidRPr="009B454D">
              <w:rPr>
                <w:rFonts w:asciiTheme="minorHAnsi" w:eastAsia="Arial Narrow" w:hAnsiTheme="minorHAnsi" w:cstheme="minorHAnsi"/>
                <w:sz w:val="18"/>
                <w:szCs w:val="18"/>
              </w:rPr>
              <w:t>samowyrobu</w:t>
            </w:r>
            <w:proofErr w:type="spellEnd"/>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14:paraId="69E5F66A" w14:textId="0B0FB9F1"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realizacja zadań związanych ze sprzedażą, zakupem, zamianą </w:t>
            </w:r>
            <w:r w:rsidR="00956D60">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dzierżawą nieruchomości w jednostkach organizacyjnych Lasów Państwowych;</w:t>
            </w:r>
          </w:p>
          <w:p w14:paraId="35595CC1" w14:textId="0A330F7A"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14:paraId="0E90A690" w14:textId="739BFC7F"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i biwakowych, udostępnianie ścieżek edukacyjnych, zbiorników wodnych w celach </w:t>
            </w:r>
            <w:r w:rsidR="00742B43" w:rsidRPr="009B454D">
              <w:rPr>
                <w:rFonts w:asciiTheme="minorHAnsi" w:eastAsia="Arial Narrow" w:hAnsiTheme="minorHAnsi" w:cstheme="minorHAnsi"/>
                <w:sz w:val="18"/>
                <w:szCs w:val="18"/>
              </w:rPr>
              <w:t>rekreacyjnych;</w:t>
            </w:r>
          </w:p>
          <w:p w14:paraId="1A0E5CB5" w14:textId="25193154"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14:paraId="72431683" w14:textId="35EF9DAE"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14:paraId="6C2247D4" w14:textId="19457E63"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14:paraId="7A2A8640" w14:textId="692E9E57" w:rsidR="00814A00" w:rsidRPr="009B454D"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14:paraId="4C6D375E" w14:textId="3C7D665E" w:rsidR="00814A00" w:rsidRPr="009B454D"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14:paraId="601576E8" w14:textId="76743A0D" w:rsidR="002761F4" w:rsidRPr="009B454D"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14:paraId="17FD4AF8" w14:textId="31CCFA2B" w:rsidR="00920C8C" w:rsidRPr="009B454D"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administratora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14:paraId="61E6265A" w14:textId="16E91E8E"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DE07B2" w14:paraId="54D47C9A" w14:textId="77777777" w:rsidTr="006756D0">
        <w:trPr>
          <w:trHeight w:val="720"/>
        </w:trPr>
        <w:tc>
          <w:tcPr>
            <w:tcW w:w="7508" w:type="dxa"/>
          </w:tcPr>
          <w:p w14:paraId="72D95A92" w14:textId="2BA1C0F2"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14:paraId="540A0090" w14:textId="61CEBB04"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14:paraId="3B995234" w14:textId="394F41DC"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14:paraId="2F5B5876" w14:textId="77777777"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14:paraId="6B87331F" w14:textId="633625F7"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14:paraId="6A69EB05" w14:textId="68902F90" w:rsidR="00696A73" w:rsidRPr="009B454D" w:rsidRDefault="006902C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6902C0">
              <w:rPr>
                <w:rFonts w:asciiTheme="minorHAnsi" w:eastAsia="Arial Narrow" w:hAnsiTheme="minorHAnsi" w:cstheme="minorHAnsi"/>
                <w:sz w:val="18"/>
                <w:szCs w:val="18"/>
              </w:rPr>
              <w:t>Ustawa z dnia 11 września 2019</w:t>
            </w:r>
            <w:r>
              <w:rPr>
                <w:rFonts w:asciiTheme="minorHAnsi" w:eastAsia="Arial Narrow" w:hAnsiTheme="minorHAnsi" w:cstheme="minorHAnsi"/>
                <w:sz w:val="18"/>
                <w:szCs w:val="18"/>
              </w:rPr>
              <w:t xml:space="preserve"> r. </w:t>
            </w:r>
            <w:r w:rsidRPr="006902C0">
              <w:rPr>
                <w:rFonts w:asciiTheme="minorHAnsi" w:eastAsia="Arial Narrow" w:hAnsiTheme="minorHAnsi" w:cstheme="minorHAnsi"/>
                <w:sz w:val="18"/>
                <w:szCs w:val="18"/>
              </w:rPr>
              <w:t>Prawo zamówień publicznych</w:t>
            </w:r>
            <w:r w:rsidR="005F1610" w:rsidRPr="009B454D">
              <w:rPr>
                <w:rFonts w:asciiTheme="minorHAnsi" w:eastAsia="Arial Narrow" w:hAnsiTheme="minorHAnsi" w:cstheme="minorHAnsi"/>
                <w:sz w:val="18"/>
                <w:szCs w:val="18"/>
              </w:rPr>
              <w:t>;</w:t>
            </w:r>
          </w:p>
          <w:p w14:paraId="68021A61" w14:textId="33BAED0E"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14:paraId="0EDD4936" w14:textId="77777777"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14:paraId="587E26BC" w14:textId="6AF1B988"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14:paraId="3CC10B1F" w14:textId="2E08AB45" w:rsidR="00C60F84" w:rsidRPr="009B454D"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Pr>
                <w:rFonts w:asciiTheme="minorHAnsi" w:eastAsia="Arial Narrow" w:hAnsiTheme="minorHAnsi" w:cstheme="minorHAnsi"/>
                <w:sz w:val="18"/>
                <w:szCs w:val="18"/>
              </w:rPr>
              <w:br/>
            </w:r>
          </w:p>
        </w:tc>
      </w:tr>
      <w:tr w:rsidR="000A73C7" w:rsidRPr="00DE07B2" w14:paraId="4EA51801" w14:textId="77777777" w:rsidTr="006756D0">
        <w:trPr>
          <w:trHeight w:val="850"/>
        </w:trPr>
        <w:tc>
          <w:tcPr>
            <w:tcW w:w="7508" w:type="dxa"/>
          </w:tcPr>
          <w:p w14:paraId="07457F53" w14:textId="01A1A543"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14:paraId="74922F13" w14:textId="3D8BBAA0" w:rsidR="000269C6" w:rsidRPr="007E1677" w:rsidRDefault="00290AC3" w:rsidP="007E1677">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lastRenderedPageBreak/>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7E1677">
              <w:rPr>
                <w:rFonts w:asciiTheme="minorHAnsi" w:eastAsia="Arial Narrow" w:hAnsiTheme="minorHAnsi" w:cstheme="minorHAnsi"/>
                <w:sz w:val="18"/>
                <w:szCs w:val="18"/>
              </w:rPr>
              <w:t>.</w:t>
            </w:r>
          </w:p>
        </w:tc>
        <w:tc>
          <w:tcPr>
            <w:tcW w:w="7796" w:type="dxa"/>
            <w:vAlign w:val="center"/>
          </w:tcPr>
          <w:p w14:paraId="2C188F35" w14:textId="3E5D8088" w:rsidR="00CF13EB" w:rsidRPr="009B454D" w:rsidRDefault="00CF13EB"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lastRenderedPageBreak/>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D20F044" w14:textId="77777777" w:rsidR="00CF13EB" w:rsidRPr="009B454D"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7F5B5E4E" w14:textId="77777777" w:rsidR="000A73C7" w:rsidRPr="009B454D"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lastRenderedPageBreak/>
              <w:t>Ustawa z dnia 13 października 1995 r. Prawo łowieckie</w:t>
            </w:r>
            <w:r w:rsidR="00CF13EB" w:rsidRPr="00DE07B2">
              <w:rPr>
                <w:rFonts w:asciiTheme="minorHAnsi" w:eastAsia="Arial Narrow" w:hAnsiTheme="minorHAnsi" w:cstheme="minorHAnsi"/>
                <w:sz w:val="18"/>
                <w:szCs w:val="18"/>
              </w:rPr>
              <w:t>;</w:t>
            </w:r>
          </w:p>
          <w:p w14:paraId="2724ED01" w14:textId="348350D6" w:rsidR="00CF13EB" w:rsidRPr="007E1677" w:rsidRDefault="00CF13EB" w:rsidP="007E1677">
            <w:pPr>
              <w:spacing w:before="100" w:beforeAutospacing="1" w:after="100" w:afterAutospacing="1"/>
              <w:ind w:left="456"/>
              <w:jc w:val="both"/>
              <w:rPr>
                <w:rFonts w:asciiTheme="minorHAnsi" w:eastAsia="Arial Narrow,Times New Roman" w:hAnsiTheme="minorHAnsi" w:cstheme="minorHAnsi"/>
                <w:sz w:val="18"/>
                <w:szCs w:val="18"/>
              </w:rPr>
            </w:pPr>
          </w:p>
        </w:tc>
      </w:tr>
      <w:tr w:rsidR="00811AD0" w:rsidRPr="00DE07B2" w14:paraId="73981757" w14:textId="77777777" w:rsidTr="006756D0">
        <w:trPr>
          <w:trHeight w:val="850"/>
        </w:trPr>
        <w:tc>
          <w:tcPr>
            <w:tcW w:w="7508" w:type="dxa"/>
          </w:tcPr>
          <w:p w14:paraId="59FB3157" w14:textId="70B450FC"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817CC1">
              <w:rPr>
                <w:rFonts w:asciiTheme="minorHAnsi" w:eastAsia="Arial Narrow" w:hAnsiTheme="minorHAnsi" w:cstheme="minorHAnsi"/>
                <w:b/>
                <w:sz w:val="18"/>
                <w:szCs w:val="18"/>
              </w:rPr>
              <w:t xml:space="preserve">Rozpatrywanie </w:t>
            </w:r>
            <w:proofErr w:type="spellStart"/>
            <w:r w:rsidR="00817CC1">
              <w:rPr>
                <w:rFonts w:asciiTheme="minorHAnsi" w:eastAsia="Arial Narrow" w:hAnsiTheme="minorHAnsi" w:cstheme="minorHAnsi"/>
                <w:b/>
                <w:sz w:val="18"/>
                <w:szCs w:val="18"/>
              </w:rPr>
              <w:t>odwołań</w:t>
            </w:r>
            <w:proofErr w:type="spellEnd"/>
            <w:r w:rsidR="00817CC1">
              <w:rPr>
                <w:rFonts w:asciiTheme="minorHAnsi" w:eastAsia="Arial Narrow" w:hAnsiTheme="minorHAnsi" w:cstheme="minorHAnsi"/>
                <w:b/>
                <w:sz w:val="18"/>
                <w:szCs w:val="18"/>
              </w:rPr>
              <w:t xml:space="preserve">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14:paraId="0ECDAAEE" w14:textId="77777777" w:rsidR="008B3BDC" w:rsidRPr="009B454D" w:rsidRDefault="008B3BDC" w:rsidP="008B3BDC">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4A0B04C" w14:textId="3C7A65E0" w:rsidR="00811AD0" w:rsidRPr="008B3BDC"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14:paraId="6DF033DD" w14:textId="77777777" w:rsidTr="001623AF">
        <w:trPr>
          <w:trHeight w:val="1542"/>
        </w:trPr>
        <w:tc>
          <w:tcPr>
            <w:tcW w:w="7508" w:type="dxa"/>
          </w:tcPr>
          <w:p w14:paraId="44C1D95D" w14:textId="63CE1423"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14:paraId="1EE482AF" w14:textId="7B7F674B" w:rsidR="00B93EDB" w:rsidRPr="00DE07B2" w:rsidRDefault="00DD4700" w:rsidP="009B454D">
            <w:pPr>
              <w:spacing w:before="100" w:beforeAutospacing="1" w:after="100" w:afterAutospacing="1"/>
              <w:ind w:left="127"/>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14:paraId="08EBB474" w14:textId="77777777" w:rsidR="00B93EDB" w:rsidRPr="00DE07B2"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14:paraId="5BBC9D6D" w14:textId="2EF7329E" w:rsidR="005800CD" w:rsidRPr="009B454D"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14:paraId="2061065D" w14:textId="77777777" w:rsidTr="006756D0">
        <w:trPr>
          <w:trHeight w:val="1103"/>
        </w:trPr>
        <w:tc>
          <w:tcPr>
            <w:tcW w:w="7508" w:type="dxa"/>
          </w:tcPr>
          <w:p w14:paraId="45D7C8BE" w14:textId="7F77717F"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14:paraId="71685E32" w14:textId="56AF6418"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14:paraId="12E1FA35" w14:textId="466F9B64"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14:paraId="6D5F9307" w14:textId="32FCE883"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14:paraId="06986B82" w14:textId="2B70AEE6"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14:paraId="3507C9ED" w14:textId="77777777" w:rsidTr="006902C0">
        <w:trPr>
          <w:trHeight w:val="416"/>
        </w:trPr>
        <w:tc>
          <w:tcPr>
            <w:tcW w:w="7508" w:type="dxa"/>
          </w:tcPr>
          <w:p w14:paraId="1B074BBA" w14:textId="0D83E72E"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14:paraId="0CAB5B98" w14:textId="5BEDC0CF"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14:paraId="7F565A45" w14:textId="0E18B510"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14:paraId="52FB01DB" w14:textId="557A7723"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14:paraId="15991B21" w14:textId="3B829322"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14:paraId="745B2144" w14:textId="51E8539E" w:rsidR="00EC4BDD" w:rsidRPr="009B454D" w:rsidRDefault="00BC5EBB"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14:paraId="1AF35967" w14:textId="2C9BE871" w:rsidR="00CD2261" w:rsidRPr="009B454D" w:rsidRDefault="00CD226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59CDD6C1" w14:textId="6EC9FEF1" w:rsidR="00CD2261" w:rsidRPr="009B454D"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26 lipca 1991 r. o podatku dochodowym od osób fizycznych</w:t>
            </w:r>
            <w:r w:rsidR="00EA3801" w:rsidRPr="009B454D">
              <w:rPr>
                <w:rFonts w:asciiTheme="minorHAnsi" w:eastAsia="Arial Narrow" w:hAnsiTheme="minorHAnsi" w:cstheme="minorHAnsi"/>
                <w:sz w:val="18"/>
                <w:szCs w:val="18"/>
              </w:rPr>
              <w:t xml:space="preserve"> – </w:t>
            </w:r>
            <w:r w:rsidR="00997C85" w:rsidRPr="009B454D">
              <w:rPr>
                <w:rFonts w:asciiTheme="minorHAnsi" w:eastAsia="Arial Narrow" w:hAnsiTheme="minorHAnsi" w:cstheme="minorHAnsi"/>
                <w:sz w:val="18"/>
                <w:szCs w:val="18"/>
              </w:rPr>
              <w:br/>
            </w:r>
            <w:r w:rsidR="00EA3801" w:rsidRPr="009B454D">
              <w:rPr>
                <w:rFonts w:asciiTheme="minorHAnsi" w:eastAsia="Arial Narrow" w:hAnsiTheme="minorHAnsi" w:cstheme="minorHAnsi"/>
                <w:sz w:val="18"/>
                <w:szCs w:val="18"/>
              </w:rPr>
              <w:t xml:space="preserve">(w przypadku otrzymania nagrody </w:t>
            </w:r>
            <w:r w:rsidR="00997C85" w:rsidRPr="009B454D">
              <w:rPr>
                <w:rFonts w:asciiTheme="minorHAnsi" w:eastAsia="Arial Narrow" w:hAnsiTheme="minorHAnsi" w:cstheme="minorHAnsi"/>
                <w:sz w:val="18"/>
                <w:szCs w:val="18"/>
              </w:rPr>
              <w:t>niespełniającej warunków zwolnienia od podatku)</w:t>
            </w:r>
            <w:r w:rsidR="004925A8" w:rsidRPr="00DE07B2">
              <w:rPr>
                <w:rFonts w:asciiTheme="minorHAnsi" w:eastAsia="Arial Narrow" w:hAnsiTheme="minorHAnsi" w:cstheme="minorHAnsi"/>
                <w:sz w:val="18"/>
                <w:szCs w:val="18"/>
              </w:rPr>
              <w:t>;</w:t>
            </w:r>
          </w:p>
          <w:p w14:paraId="2DB28792" w14:textId="4F1CB25C" w:rsidR="007F0831" w:rsidRPr="009B454D" w:rsidRDefault="007F0831" w:rsidP="009B454D">
            <w:pPr>
              <w:spacing w:before="100" w:beforeAutospacing="1" w:after="100" w:afterAutospacing="1"/>
              <w:ind w:left="127"/>
              <w:rPr>
                <w:rFonts w:asciiTheme="minorHAnsi" w:eastAsia="Arial Narrow" w:hAnsiTheme="minorHAnsi" w:cstheme="minorHAnsi"/>
                <w:sz w:val="18"/>
                <w:szCs w:val="18"/>
              </w:rPr>
            </w:pPr>
          </w:p>
        </w:tc>
      </w:tr>
      <w:tr w:rsidR="005713CD" w:rsidRPr="00DE07B2" w14:paraId="6753547E" w14:textId="77777777" w:rsidTr="006756D0">
        <w:trPr>
          <w:trHeight w:val="1103"/>
        </w:trPr>
        <w:tc>
          <w:tcPr>
            <w:tcW w:w="7508" w:type="dxa"/>
          </w:tcPr>
          <w:p w14:paraId="1F36BDB6" w14:textId="6321CE7E" w:rsidR="005713CD"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14:paraId="40F73E37" w14:textId="55C4322A"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14:paraId="2CA7F14C" w14:textId="1CF28812"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danych osobowych osób objętych zakresem skargi lub wniosku oraz osób uczestniczących w jej rozpatrywaniu lub zobowiązanych do złożenia wyjaśnień w związku ze sprawą;</w:t>
            </w:r>
          </w:p>
        </w:tc>
        <w:tc>
          <w:tcPr>
            <w:tcW w:w="7796" w:type="dxa"/>
            <w:vAlign w:val="center"/>
          </w:tcPr>
          <w:p w14:paraId="29DF9722" w14:textId="4DE298C4"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35545092" w14:textId="05B79489"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14:paraId="41E0C787" w14:textId="77777777"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14:paraId="228BEFE5" w14:textId="77777777" w:rsidTr="006756D0">
        <w:trPr>
          <w:trHeight w:val="2142"/>
        </w:trPr>
        <w:tc>
          <w:tcPr>
            <w:tcW w:w="7508" w:type="dxa"/>
          </w:tcPr>
          <w:p w14:paraId="1599E204" w14:textId="1F5ADE34"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14:paraId="6EB7AE82" w14:textId="0E736464"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dotyczących wnioskodawców w celu rozpatrzenia wniosku i udzielenia informacji</w:t>
            </w:r>
            <w:r w:rsidR="004A77F6" w:rsidRPr="009B454D">
              <w:rPr>
                <w:rFonts w:asciiTheme="minorHAnsi" w:eastAsia="Arial Narrow" w:hAnsiTheme="minorHAnsi" w:cstheme="minorHAnsi"/>
                <w:sz w:val="18"/>
                <w:szCs w:val="18"/>
              </w:rPr>
              <w:t>;</w:t>
            </w:r>
          </w:p>
          <w:p w14:paraId="28409605" w14:textId="375C7398"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14:paraId="2109FC8E" w14:textId="70CB52C7"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14:paraId="50C7F843" w14:textId="10DA2528"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DE07B2" w14:paraId="12140EB7" w14:textId="77777777" w:rsidTr="006756D0">
        <w:trPr>
          <w:trHeight w:val="1919"/>
        </w:trPr>
        <w:tc>
          <w:tcPr>
            <w:tcW w:w="7508" w:type="dxa"/>
          </w:tcPr>
          <w:p w14:paraId="1F30B1EA" w14:textId="2DD100C6" w:rsidR="008C1E3B" w:rsidRPr="009B454D" w:rsidRDefault="0086481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A540C" w:rsidRPr="009B454D">
              <w:rPr>
                <w:rFonts w:asciiTheme="minorHAnsi" w:eastAsia="Arial Narrow" w:hAnsiTheme="minorHAnsi" w:cstheme="minorHAnsi"/>
                <w:b/>
                <w:sz w:val="18"/>
                <w:szCs w:val="18"/>
              </w:rPr>
              <w:t>Prowadzenie monitoringu</w:t>
            </w:r>
            <w:r w:rsidR="001E5033">
              <w:rPr>
                <w:rFonts w:asciiTheme="minorHAnsi" w:eastAsia="Arial Narrow" w:hAnsiTheme="minorHAnsi" w:cstheme="minorHAnsi"/>
                <w:b/>
                <w:sz w:val="18"/>
                <w:szCs w:val="18"/>
              </w:rPr>
              <w:t xml:space="preserve"> wizyjnego</w:t>
            </w:r>
            <w:r w:rsidR="001A540C" w:rsidRPr="009B454D">
              <w:rPr>
                <w:rFonts w:asciiTheme="minorHAnsi" w:eastAsia="Arial Narrow" w:hAnsiTheme="minorHAnsi" w:cstheme="minorHAnsi"/>
                <w:b/>
                <w:sz w:val="18"/>
                <w:szCs w:val="18"/>
              </w:rPr>
              <w:t>:</w:t>
            </w:r>
          </w:p>
          <w:p w14:paraId="7EF23B61" w14:textId="0C1F48D2" w:rsidR="00190A8A" w:rsidRPr="009B454D"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w celu </w:t>
            </w:r>
            <w:r w:rsidR="007E1677">
              <w:rPr>
                <w:rFonts w:asciiTheme="minorHAnsi" w:eastAsia="Arial Narrow" w:hAnsiTheme="minorHAnsi" w:cstheme="minorHAnsi"/>
                <w:sz w:val="18"/>
                <w:szCs w:val="18"/>
              </w:rPr>
              <w:t>ochrony mienia</w:t>
            </w:r>
          </w:p>
        </w:tc>
        <w:tc>
          <w:tcPr>
            <w:tcW w:w="7796" w:type="dxa"/>
            <w:vAlign w:val="center"/>
          </w:tcPr>
          <w:p w14:paraId="32CE3081" w14:textId="77777777" w:rsidR="007E1677" w:rsidRDefault="007E1677" w:rsidP="009B454D">
            <w:pPr>
              <w:ind w:left="127"/>
              <w:rPr>
                <w:rFonts w:asciiTheme="minorHAnsi" w:eastAsia="Arial Narrow,Times New Roman" w:hAnsiTheme="minorHAnsi" w:cstheme="minorHAnsi"/>
                <w:b/>
                <w:sz w:val="18"/>
                <w:szCs w:val="18"/>
              </w:rPr>
            </w:pPr>
          </w:p>
          <w:p w14:paraId="02746C82" w14:textId="08EE4EF1" w:rsidR="008C1E3B" w:rsidRPr="007E1677" w:rsidRDefault="007E1677" w:rsidP="007E1677">
            <w:pPr>
              <w:ind w:left="127"/>
              <w:rPr>
                <w:rFonts w:asciiTheme="minorHAnsi" w:eastAsia="Arial Narrow" w:hAnsiTheme="minorHAnsi" w:cstheme="minorHAnsi"/>
                <w:b/>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 –</w:t>
            </w:r>
            <w:r>
              <w:rPr>
                <w:rFonts w:asciiTheme="minorHAnsi" w:eastAsia="Arial Narrow,Times New Roman" w:hAnsiTheme="minorHAnsi" w:cstheme="minorHAnsi"/>
                <w:sz w:val="18"/>
                <w:szCs w:val="18"/>
              </w:rPr>
              <w:t xml:space="preserve"> ochrona</w:t>
            </w:r>
            <w:r w:rsidRPr="00DE07B2">
              <w:rPr>
                <w:rFonts w:asciiTheme="minorHAnsi" w:eastAsia="Arial Narrow,Times New Roman" w:hAnsiTheme="minorHAnsi" w:cstheme="minorHAnsi"/>
                <w:sz w:val="18"/>
                <w:szCs w:val="18"/>
              </w:rPr>
              <w:t xml:space="preserve"> mienia</w:t>
            </w:r>
            <w:r>
              <w:rPr>
                <w:rFonts w:asciiTheme="minorHAnsi" w:eastAsia="Arial Narrow,Times New Roman" w:hAnsiTheme="minorHAnsi" w:cstheme="minorHAnsi"/>
                <w:sz w:val="18"/>
                <w:szCs w:val="18"/>
              </w:rPr>
              <w:t xml:space="preserve"> w związku z </w:t>
            </w:r>
            <w:r w:rsidR="00BB60D8" w:rsidRPr="007E1677">
              <w:rPr>
                <w:rFonts w:asciiTheme="minorHAnsi" w:eastAsia="Arial Narrow" w:hAnsiTheme="minorHAnsi" w:cstheme="minorHAnsi"/>
                <w:sz w:val="18"/>
                <w:szCs w:val="18"/>
              </w:rPr>
              <w:t>ustaw</w:t>
            </w:r>
            <w:r>
              <w:rPr>
                <w:rFonts w:asciiTheme="minorHAnsi" w:eastAsia="Arial Narrow" w:hAnsiTheme="minorHAnsi" w:cstheme="minorHAnsi"/>
                <w:sz w:val="18"/>
                <w:szCs w:val="18"/>
              </w:rPr>
              <w:t>ą</w:t>
            </w:r>
            <w:r w:rsidR="00BB60D8" w:rsidRPr="007E1677">
              <w:rPr>
                <w:rFonts w:asciiTheme="minorHAnsi" w:eastAsia="Arial Narrow" w:hAnsiTheme="minorHAnsi" w:cstheme="minorHAnsi"/>
                <w:sz w:val="18"/>
                <w:szCs w:val="18"/>
              </w:rPr>
              <w:t xml:space="preserve"> z dnia 16 grudnia 2016 r. o zasadach zarządzania mieniem państwowym</w:t>
            </w:r>
            <w:r w:rsidR="00AF7CDC">
              <w:rPr>
                <w:rFonts w:asciiTheme="minorHAnsi" w:eastAsia="Arial Narrow" w:hAnsiTheme="minorHAnsi" w:cstheme="minorHAnsi"/>
                <w:sz w:val="18"/>
                <w:szCs w:val="18"/>
              </w:rPr>
              <w:t xml:space="preserve"> oraz </w:t>
            </w:r>
            <w:r w:rsidR="00AF7CDC" w:rsidRPr="009B454D">
              <w:rPr>
                <w:rFonts w:asciiTheme="minorHAnsi" w:eastAsia="Arial Narrow" w:hAnsiTheme="minorHAnsi" w:cstheme="minorHAnsi"/>
                <w:sz w:val="18"/>
                <w:szCs w:val="18"/>
              </w:rPr>
              <w:t>w Ustawie z dnia 26 czerwca 1974 r. Kodeks pracy</w:t>
            </w:r>
            <w:r w:rsidR="000068AC" w:rsidRPr="007E1677">
              <w:rPr>
                <w:rFonts w:asciiTheme="minorHAnsi" w:eastAsia="Arial Narrow" w:hAnsiTheme="minorHAnsi" w:cstheme="minorHAnsi"/>
                <w:sz w:val="18"/>
                <w:szCs w:val="18"/>
              </w:rPr>
              <w:t>;</w:t>
            </w:r>
          </w:p>
          <w:p w14:paraId="11BFEB03" w14:textId="77777777" w:rsidR="000068AC" w:rsidRPr="009B454D" w:rsidRDefault="000068AC" w:rsidP="009B454D">
            <w:pPr>
              <w:ind w:left="127"/>
              <w:rPr>
                <w:rFonts w:asciiTheme="minorHAnsi" w:eastAsia="Arial Narrow,Times New Roman" w:hAnsiTheme="minorHAnsi" w:cstheme="minorHAnsi"/>
                <w:sz w:val="18"/>
                <w:szCs w:val="18"/>
              </w:rPr>
            </w:pPr>
          </w:p>
          <w:p w14:paraId="2DDCFE49" w14:textId="33DAAB33" w:rsidR="00BE3CB0" w:rsidRPr="009B454D" w:rsidRDefault="00BE3CB0" w:rsidP="00811AD0">
            <w:pPr>
              <w:spacing w:before="100" w:beforeAutospacing="1" w:after="100" w:afterAutospacing="1"/>
              <w:ind w:left="127"/>
              <w:jc w:val="both"/>
              <w:rPr>
                <w:rFonts w:asciiTheme="minorHAnsi" w:eastAsia="Arial Narrow,Times New Roman" w:hAnsiTheme="minorHAnsi" w:cstheme="minorHAnsi"/>
                <w:sz w:val="18"/>
                <w:szCs w:val="18"/>
              </w:rPr>
            </w:pPr>
          </w:p>
        </w:tc>
      </w:tr>
      <w:tr w:rsidR="00293F62" w:rsidRPr="00DE07B2" w14:paraId="2B2FF6E2" w14:textId="77777777" w:rsidTr="006756D0">
        <w:trPr>
          <w:trHeight w:val="1103"/>
        </w:trPr>
        <w:tc>
          <w:tcPr>
            <w:tcW w:w="7508" w:type="dxa"/>
            <w:vAlign w:val="center"/>
          </w:tcPr>
          <w:p w14:paraId="5C23972E" w14:textId="40EA5457"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14:paraId="15FBAB89" w14:textId="77777777" w:rsidR="00133420" w:rsidRPr="009B454D" w:rsidRDefault="00133420" w:rsidP="009B454D">
            <w:pPr>
              <w:ind w:left="127"/>
              <w:rPr>
                <w:rFonts w:asciiTheme="minorHAnsi" w:eastAsia="Arial Narrow" w:hAnsiTheme="minorHAnsi" w:cstheme="minorHAnsi"/>
                <w:sz w:val="18"/>
                <w:szCs w:val="18"/>
              </w:rPr>
            </w:pPr>
          </w:p>
          <w:p w14:paraId="08BA8076" w14:textId="142A159A"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B454D" w:rsidRDefault="00133420" w:rsidP="009B454D">
            <w:pPr>
              <w:ind w:left="127"/>
              <w:rPr>
                <w:rFonts w:asciiTheme="minorHAnsi" w:eastAsia="Arial Narrow" w:hAnsiTheme="minorHAnsi" w:cstheme="minorHAnsi"/>
                <w:sz w:val="18"/>
                <w:szCs w:val="18"/>
              </w:rPr>
            </w:pPr>
          </w:p>
          <w:p w14:paraId="7C50836F" w14:textId="77777777"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14:paraId="72FFAE03" w14:textId="77777777" w:rsidR="00133420" w:rsidRPr="009B454D" w:rsidRDefault="00133420" w:rsidP="009B454D">
            <w:pPr>
              <w:ind w:left="127"/>
              <w:rPr>
                <w:rFonts w:asciiTheme="minorHAnsi" w:eastAsia="Arial Narrow" w:hAnsiTheme="minorHAnsi" w:cstheme="minorHAnsi"/>
                <w:sz w:val="18"/>
                <w:szCs w:val="18"/>
              </w:rPr>
            </w:pPr>
          </w:p>
          <w:p w14:paraId="5C6BB5F2" w14:textId="676EF506"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14:paraId="2E6A7175" w14:textId="77777777" w:rsidTr="006756D0">
        <w:tc>
          <w:tcPr>
            <w:tcW w:w="7508" w:type="dxa"/>
            <w:hideMark/>
          </w:tcPr>
          <w:p w14:paraId="0830EF5E" w14:textId="7A4E5C24"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14:paraId="500CDB58" w14:textId="77777777" w:rsidR="00582A46" w:rsidRPr="009B454D" w:rsidRDefault="00582A46" w:rsidP="009B454D">
            <w:pPr>
              <w:ind w:right="268"/>
              <w:jc w:val="both"/>
              <w:rPr>
                <w:rFonts w:asciiTheme="minorHAnsi" w:hAnsiTheme="minorHAnsi" w:cstheme="minorHAnsi"/>
                <w:b/>
                <w:sz w:val="18"/>
                <w:szCs w:val="18"/>
              </w:rPr>
            </w:pPr>
          </w:p>
          <w:p w14:paraId="0A582F8B" w14:textId="5DCA13E2"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14:paraId="61731F56" w14:textId="339FFEDD"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14:paraId="55D6E1A4" w14:textId="5A844A2E"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14:paraId="1813E339" w14:textId="6999EFC6"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14:paraId="1A4CF490" w14:textId="77777777" w:rsidR="004B71C3" w:rsidRPr="009B454D" w:rsidRDefault="004B71C3" w:rsidP="009B454D">
            <w:pPr>
              <w:ind w:right="268"/>
              <w:jc w:val="both"/>
              <w:rPr>
                <w:rFonts w:asciiTheme="minorHAnsi" w:hAnsiTheme="minorHAnsi" w:cstheme="minorHAnsi"/>
                <w:sz w:val="18"/>
                <w:szCs w:val="18"/>
              </w:rPr>
            </w:pPr>
          </w:p>
          <w:p w14:paraId="6AA2AB74" w14:textId="7AEDA823"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B454D" w:rsidRDefault="009A7C9D" w:rsidP="009B454D">
            <w:pPr>
              <w:ind w:left="127"/>
              <w:rPr>
                <w:rFonts w:asciiTheme="minorHAnsi" w:eastAsia="Times New Roman" w:hAnsiTheme="minorHAnsi" w:cstheme="minorHAnsi"/>
                <w:sz w:val="18"/>
                <w:szCs w:val="20"/>
              </w:rPr>
            </w:pPr>
          </w:p>
          <w:p w14:paraId="464F2D05" w14:textId="0516FB31"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B454D" w:rsidRDefault="009A7C9D" w:rsidP="009B454D">
            <w:pPr>
              <w:ind w:left="127"/>
              <w:rPr>
                <w:rFonts w:asciiTheme="minorHAnsi" w:eastAsia="Times New Roman" w:hAnsiTheme="minorHAnsi" w:cstheme="minorHAnsi"/>
                <w:sz w:val="18"/>
                <w:szCs w:val="20"/>
              </w:rPr>
            </w:pPr>
          </w:p>
          <w:p w14:paraId="29159FAE" w14:textId="14AC0ADB"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14:paraId="07D73513" w14:textId="493F46D7"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14:paraId="3E1D7065" w14:textId="726F030F"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14:paraId="0A6DB227" w14:textId="27D53BFB"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14:paraId="4FE04036" w14:textId="3A6AC475"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14:paraId="7D44F275" w14:textId="77777777"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14:paraId="2DF9AEC1" w14:textId="77777777" w:rsidR="00F0512C" w:rsidRPr="009B454D" w:rsidRDefault="00F0512C" w:rsidP="009B454D">
            <w:pPr>
              <w:ind w:left="127"/>
              <w:rPr>
                <w:rFonts w:asciiTheme="minorHAnsi" w:eastAsia="Arial Narrow,Times New Roman" w:hAnsiTheme="minorHAnsi" w:cstheme="minorHAnsi"/>
                <w:sz w:val="18"/>
                <w:szCs w:val="18"/>
              </w:rPr>
            </w:pPr>
          </w:p>
          <w:p w14:paraId="68C6033B" w14:textId="52C8A48E"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2D584561" w14:textId="60C7B26E"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14:paraId="3A3E202F" w14:textId="77777777" w:rsidTr="006756D0">
        <w:tc>
          <w:tcPr>
            <w:tcW w:w="7508" w:type="dxa"/>
          </w:tcPr>
          <w:p w14:paraId="0C2BEF9E" w14:textId="60D64691"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14:paraId="43FF258F" w14:textId="77777777" w:rsidR="005A142E" w:rsidRPr="009B454D" w:rsidRDefault="005A142E" w:rsidP="009B454D">
            <w:pPr>
              <w:ind w:right="268"/>
              <w:jc w:val="both"/>
              <w:rPr>
                <w:rFonts w:asciiTheme="minorHAnsi" w:hAnsiTheme="minorHAnsi" w:cstheme="minorHAnsi"/>
                <w:b/>
                <w:sz w:val="18"/>
                <w:szCs w:val="18"/>
              </w:rPr>
            </w:pPr>
          </w:p>
          <w:p w14:paraId="1B028F42" w14:textId="63C0DCE1" w:rsidR="001E5D34" w:rsidRPr="009B454D" w:rsidRDefault="000140E6" w:rsidP="009B454D">
            <w:pPr>
              <w:pStyle w:val="Akapitzlist"/>
              <w:numPr>
                <w:ilvl w:val="0"/>
                <w:numId w:val="24"/>
              </w:numPr>
              <w:ind w:right="268"/>
              <w:jc w:val="both"/>
              <w:rPr>
                <w:rFonts w:asciiTheme="minorHAnsi" w:hAnsiTheme="minorHAnsi" w:cstheme="minorHAnsi"/>
                <w:sz w:val="18"/>
                <w:szCs w:val="18"/>
              </w:rPr>
            </w:pPr>
            <w:r w:rsidRPr="009B454D">
              <w:rPr>
                <w:rFonts w:asciiTheme="minorHAnsi" w:hAnsiTheme="minorHAnsi" w:cstheme="minorHAnsi"/>
                <w:sz w:val="18"/>
                <w:szCs w:val="18"/>
              </w:rPr>
              <w:lastRenderedPageBreak/>
              <w:t>P</w:t>
            </w:r>
            <w:r w:rsidR="001E5D34" w:rsidRPr="009B454D">
              <w:rPr>
                <w:rFonts w:asciiTheme="minorHAnsi" w:hAnsiTheme="minorHAnsi" w:cstheme="minorHAnsi"/>
                <w:sz w:val="18"/>
                <w:szCs w:val="18"/>
              </w:rPr>
              <w:t>rzetwarzanie danych osobowych studentów</w:t>
            </w:r>
            <w:r w:rsidR="001B62D0" w:rsidRPr="009B454D">
              <w:rPr>
                <w:rFonts w:asciiTheme="minorHAnsi" w:hAnsiTheme="minorHAnsi" w:cstheme="minorHAnsi"/>
                <w:sz w:val="18"/>
                <w:szCs w:val="18"/>
              </w:rPr>
              <w:t xml:space="preserve"> oraz uczniów szkół średnich w celu zorgani</w:t>
            </w:r>
            <w:r w:rsidR="005A142E" w:rsidRPr="009B454D">
              <w:rPr>
                <w:rFonts w:asciiTheme="minorHAnsi" w:hAnsiTheme="minorHAnsi" w:cstheme="minorHAnsi"/>
                <w:sz w:val="18"/>
                <w:szCs w:val="18"/>
              </w:rPr>
              <w:t xml:space="preserve">zowania i udokumentowania odbycia praktyk zawodowych </w:t>
            </w:r>
            <w:r w:rsidRPr="009B454D">
              <w:rPr>
                <w:rFonts w:asciiTheme="minorHAnsi" w:hAnsiTheme="minorHAnsi" w:cstheme="minorHAnsi"/>
                <w:sz w:val="18"/>
                <w:szCs w:val="18"/>
              </w:rPr>
              <w:t>w Nadleśnictwie</w:t>
            </w:r>
            <w:r w:rsidR="005A142E" w:rsidRPr="009B454D">
              <w:rPr>
                <w:rFonts w:asciiTheme="minorHAnsi" w:hAnsiTheme="minorHAnsi" w:cstheme="minorHAnsi"/>
                <w:sz w:val="18"/>
                <w:szCs w:val="18"/>
              </w:rPr>
              <w:t xml:space="preserve"> oraz dopełnienia obowiązków wynikających z przepisów bezpieczeństwa i higieny pracy;</w:t>
            </w:r>
          </w:p>
          <w:p w14:paraId="30F18C1E" w14:textId="745FD1DA"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lastRenderedPageBreak/>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DE07B2" w:rsidRDefault="00F1413D" w:rsidP="009B454D">
            <w:pPr>
              <w:ind w:left="127"/>
              <w:rPr>
                <w:rFonts w:asciiTheme="minorHAnsi" w:eastAsia="Arial Narrow" w:hAnsiTheme="minorHAnsi" w:cstheme="minorHAnsi"/>
                <w:sz w:val="18"/>
                <w:szCs w:val="18"/>
              </w:rPr>
            </w:pPr>
          </w:p>
          <w:p w14:paraId="08919F05" w14:textId="3E2D30B5"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14:paraId="66B27278" w14:textId="43E3C11D"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lastRenderedPageBreak/>
              <w:t>Ustawa z dnia 14 grudnia 2016 r. - Prawo oświatowe;</w:t>
            </w:r>
          </w:p>
          <w:p w14:paraId="137451DA" w14:textId="515F0043"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14:paraId="0980FD1F" w14:textId="77777777" w:rsidR="005B173B" w:rsidRPr="009B454D" w:rsidRDefault="005B173B" w:rsidP="009B454D">
            <w:pPr>
              <w:ind w:left="127"/>
              <w:rPr>
                <w:rFonts w:asciiTheme="minorHAnsi" w:eastAsia="Arial Narrow" w:hAnsiTheme="minorHAnsi" w:cstheme="minorHAnsi"/>
                <w:sz w:val="18"/>
                <w:szCs w:val="18"/>
              </w:rPr>
            </w:pPr>
          </w:p>
          <w:p w14:paraId="3D993975" w14:textId="75EA41BA" w:rsidR="006C0988" w:rsidRPr="009B454D" w:rsidRDefault="006C0988" w:rsidP="009B454D">
            <w:pPr>
              <w:ind w:left="127"/>
              <w:rPr>
                <w:rFonts w:asciiTheme="minorHAnsi" w:eastAsia="Arial Narrow" w:hAnsiTheme="minorHAnsi" w:cstheme="minorHAnsi"/>
                <w:sz w:val="18"/>
                <w:szCs w:val="18"/>
              </w:rPr>
            </w:pPr>
          </w:p>
        </w:tc>
      </w:tr>
      <w:tr w:rsidR="006C0988" w:rsidRPr="00DE07B2" w14:paraId="7B2D957F" w14:textId="77777777" w:rsidTr="006756D0">
        <w:tc>
          <w:tcPr>
            <w:tcW w:w="7508" w:type="dxa"/>
          </w:tcPr>
          <w:p w14:paraId="1AFDFACA" w14:textId="77777777" w:rsidR="00DC7A71" w:rsidRPr="009B454D" w:rsidRDefault="00DC7A71" w:rsidP="009B454D">
            <w:pPr>
              <w:ind w:right="268"/>
              <w:jc w:val="both"/>
              <w:rPr>
                <w:rFonts w:asciiTheme="minorHAnsi" w:hAnsiTheme="minorHAnsi" w:cstheme="minorHAnsi"/>
                <w:b/>
                <w:sz w:val="18"/>
                <w:szCs w:val="18"/>
              </w:rPr>
            </w:pPr>
          </w:p>
          <w:p w14:paraId="46DDF9CF" w14:textId="2E94BC06"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r w:rsidR="00DC7A71" w:rsidRPr="009B454D">
              <w:rPr>
                <w:rFonts w:asciiTheme="minorHAnsi" w:hAnsiTheme="minorHAnsi" w:cstheme="minorHAnsi"/>
                <w:b/>
                <w:sz w:val="18"/>
                <w:szCs w:val="18"/>
              </w:rPr>
              <w:t>.</w:t>
            </w:r>
          </w:p>
          <w:p w14:paraId="1A8CB95B" w14:textId="23AF961A" w:rsidR="00C54125" w:rsidRPr="009B454D" w:rsidRDefault="00C54125" w:rsidP="009B454D">
            <w:pPr>
              <w:ind w:right="268"/>
              <w:jc w:val="both"/>
              <w:rPr>
                <w:rFonts w:asciiTheme="minorHAnsi" w:hAnsiTheme="minorHAnsi" w:cstheme="minorHAnsi"/>
                <w:b/>
                <w:sz w:val="18"/>
                <w:szCs w:val="18"/>
              </w:rPr>
            </w:pPr>
          </w:p>
          <w:p w14:paraId="48B19B41" w14:textId="77777777" w:rsidR="00C54125" w:rsidRPr="009B454D" w:rsidRDefault="00C54125" w:rsidP="009B454D">
            <w:pPr>
              <w:ind w:right="268"/>
              <w:jc w:val="both"/>
              <w:rPr>
                <w:rFonts w:asciiTheme="minorHAnsi" w:hAnsiTheme="minorHAnsi" w:cstheme="minorHAnsi"/>
                <w:b/>
                <w:sz w:val="18"/>
                <w:szCs w:val="18"/>
              </w:rPr>
            </w:pPr>
          </w:p>
          <w:p w14:paraId="09644D66" w14:textId="4CC55097"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DE07B2" w:rsidRDefault="00EF4F98" w:rsidP="009B454D">
            <w:pPr>
              <w:ind w:left="127"/>
              <w:rPr>
                <w:rFonts w:asciiTheme="minorHAnsi" w:eastAsia="Arial Narrow" w:hAnsiTheme="minorHAnsi" w:cstheme="minorHAnsi"/>
                <w:sz w:val="18"/>
                <w:szCs w:val="18"/>
              </w:rPr>
            </w:pPr>
          </w:p>
          <w:p w14:paraId="302E1056" w14:textId="72357FF7"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097B26F0" w14:textId="7ECCC6D6" w:rsidR="003B76B4" w:rsidRPr="00DE07B2" w:rsidRDefault="003B76B4" w:rsidP="009B454D">
            <w:pPr>
              <w:pStyle w:val="Akapitzlist"/>
              <w:ind w:left="127"/>
              <w:rPr>
                <w:rFonts w:asciiTheme="minorHAnsi" w:eastAsia="Arial Narrow,Times New Roman" w:hAnsiTheme="minorHAnsi" w:cstheme="minorHAnsi"/>
                <w:sz w:val="18"/>
                <w:szCs w:val="18"/>
              </w:rPr>
            </w:pPr>
          </w:p>
          <w:p w14:paraId="10F50545" w14:textId="07A84FA5"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4C4249DC" w14:textId="77777777" w:rsidR="0008207A" w:rsidRPr="00DE07B2" w:rsidRDefault="0008207A" w:rsidP="009B454D">
            <w:pPr>
              <w:pStyle w:val="Akapitzlist"/>
              <w:ind w:left="127"/>
              <w:rPr>
                <w:rFonts w:asciiTheme="minorHAnsi" w:eastAsia="Arial Narrow,Times New Roman" w:hAnsiTheme="minorHAnsi" w:cstheme="minorHAnsi"/>
                <w:sz w:val="18"/>
                <w:szCs w:val="18"/>
              </w:rPr>
            </w:pPr>
          </w:p>
          <w:p w14:paraId="114ACFAE" w14:textId="77777777"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14:paraId="7B920B30" w14:textId="77777777" w:rsidR="0008207A" w:rsidRPr="009B454D" w:rsidRDefault="0008207A" w:rsidP="009B454D">
            <w:pPr>
              <w:ind w:left="127"/>
              <w:rPr>
                <w:rFonts w:asciiTheme="minorHAnsi" w:eastAsia="Arial Narrow" w:hAnsiTheme="minorHAnsi" w:cstheme="minorHAnsi"/>
                <w:sz w:val="18"/>
                <w:szCs w:val="18"/>
              </w:rPr>
            </w:pPr>
          </w:p>
          <w:p w14:paraId="67F9F4B4" w14:textId="7E0E0991" w:rsidR="0008207A" w:rsidRPr="009B454D" w:rsidRDefault="0008207A" w:rsidP="009B454D">
            <w:pPr>
              <w:ind w:left="127"/>
              <w:rPr>
                <w:rFonts w:asciiTheme="minorHAnsi" w:eastAsia="Arial Narrow" w:hAnsiTheme="minorHAnsi" w:cstheme="minorHAnsi"/>
                <w:sz w:val="18"/>
                <w:szCs w:val="18"/>
              </w:rPr>
            </w:pPr>
          </w:p>
        </w:tc>
      </w:tr>
      <w:tr w:rsidR="00AF7CDC" w:rsidRPr="00DE07B2" w14:paraId="36415CA5" w14:textId="77777777" w:rsidTr="006756D0">
        <w:tc>
          <w:tcPr>
            <w:tcW w:w="7508" w:type="dxa"/>
          </w:tcPr>
          <w:p w14:paraId="4B07E3BE" w14:textId="3CC46908" w:rsidR="00AF7CDC" w:rsidRPr="009B454D" w:rsidRDefault="00AF7CDC" w:rsidP="009B454D">
            <w:pPr>
              <w:ind w:right="268"/>
              <w:jc w:val="both"/>
              <w:rPr>
                <w:rFonts w:asciiTheme="minorHAnsi" w:hAnsiTheme="minorHAnsi" w:cstheme="minorHAnsi"/>
                <w:b/>
                <w:sz w:val="18"/>
                <w:szCs w:val="18"/>
              </w:rPr>
            </w:pPr>
            <w:r>
              <w:rPr>
                <w:rFonts w:asciiTheme="minorHAnsi" w:hAnsiTheme="minorHAnsi" w:cstheme="minorHAnsi"/>
                <w:b/>
                <w:sz w:val="18"/>
                <w:szCs w:val="18"/>
              </w:rPr>
              <w:t>Dane pracowników kontrahentów/dostawców/podwykonawców/urzędów</w:t>
            </w:r>
          </w:p>
        </w:tc>
        <w:tc>
          <w:tcPr>
            <w:tcW w:w="7796" w:type="dxa"/>
            <w:vAlign w:val="center"/>
          </w:tcPr>
          <w:p w14:paraId="67B8D911" w14:textId="4316F779" w:rsidR="00AF7CDC" w:rsidRDefault="00AF7CDC"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07F630CB" w14:textId="77777777" w:rsidR="00AF7CDC" w:rsidRDefault="00AF7CDC" w:rsidP="009B454D">
            <w:pPr>
              <w:ind w:left="127"/>
              <w:rPr>
                <w:rFonts w:asciiTheme="minorHAnsi" w:eastAsia="Arial Narrow,Times New Roman" w:hAnsiTheme="minorHAnsi" w:cstheme="minorHAnsi"/>
                <w:b/>
                <w:sz w:val="18"/>
                <w:szCs w:val="18"/>
              </w:rPr>
            </w:pPr>
          </w:p>
          <w:p w14:paraId="6320A9AF" w14:textId="4D6A7423" w:rsidR="00AF7CDC" w:rsidRDefault="00AF7CDC" w:rsidP="009B454D">
            <w:pPr>
              <w:ind w:left="127"/>
              <w:rPr>
                <w:rFonts w:asciiTheme="minorHAnsi" w:eastAsia="Arial Narrow"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w:t>
            </w:r>
            <w:r>
              <w:rPr>
                <w:rFonts w:asciiTheme="minorHAnsi" w:eastAsia="Arial Narrow,Times New Roman" w:hAnsiTheme="minorHAnsi" w:cstheme="minorHAnsi"/>
                <w:sz w:val="18"/>
                <w:szCs w:val="18"/>
              </w:rPr>
              <w:t xml:space="preserve"> – ochrona przed roszczeniami.</w:t>
            </w:r>
          </w:p>
          <w:p w14:paraId="08B8D7F4" w14:textId="75AC229D" w:rsidR="00AF7CDC" w:rsidRPr="009B454D" w:rsidRDefault="00AF7CDC" w:rsidP="009B454D">
            <w:pPr>
              <w:ind w:left="127"/>
              <w:rPr>
                <w:rFonts w:asciiTheme="minorHAnsi" w:eastAsia="Arial Narrow" w:hAnsiTheme="minorHAnsi" w:cstheme="minorHAnsi"/>
                <w:b/>
                <w:sz w:val="18"/>
                <w:szCs w:val="18"/>
              </w:rPr>
            </w:pPr>
          </w:p>
        </w:tc>
      </w:tr>
    </w:tbl>
    <w:p w14:paraId="5E73AD1C" w14:textId="0A2AACBC"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14:paraId="0CCBB59F" w14:textId="3FBD8E52"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0B663789" w14:textId="77777777"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Okres przechowywania Twoich danych osobowych:</w:t>
      </w:r>
    </w:p>
    <w:p w14:paraId="3FFBCB5D" w14:textId="47134427" w:rsidR="00103110" w:rsidRPr="005C1AEA" w:rsidRDefault="008FB51D" w:rsidP="008FB51D">
      <w:pPr>
        <w:pStyle w:val="NormalnyWeb"/>
        <w:spacing w:before="0" w:beforeAutospacing="0" w:after="0" w:afterAutospacing="0" w:line="300" w:lineRule="auto"/>
        <w:ind w:left="426"/>
        <w:jc w:val="both"/>
        <w:rPr>
          <w:rFonts w:asciiTheme="minorHAnsi" w:eastAsia="Arial Narrow" w:hAnsiTheme="minorHAnsi" w:cstheme="minorBidi"/>
          <w:b/>
          <w:bCs/>
          <w:sz w:val="20"/>
          <w:szCs w:val="20"/>
        </w:rPr>
      </w:pPr>
      <w:r w:rsidRPr="008FB51D">
        <w:rPr>
          <w:rFonts w:asciiTheme="minorHAnsi" w:eastAsia="Arial Narrow" w:hAnsiTheme="minorHAnsi" w:cstheme="minorBidi"/>
          <w:sz w:val="20"/>
          <w:szCs w:val="20"/>
        </w:rPr>
        <w:t xml:space="preserve">Sposób tworzenia, ewidencjonowania i przechowywania dokumentów (w szczególności czas przechowywania) w jednostkach organizacyjnych Państwowego Gospodarstwa Leśnego Lasy Państwowe określa </w:t>
      </w:r>
      <w:r w:rsidRPr="008FB51D">
        <w:rPr>
          <w:rFonts w:asciiTheme="minorHAnsi" w:hAnsiTheme="minorHAnsi" w:cstheme="minorBidi"/>
          <w:sz w:val="20"/>
          <w:szCs w:val="20"/>
        </w:rPr>
        <w:t>Jednolity rzeczowy wykaz akt dla PGL LP.</w:t>
      </w:r>
    </w:p>
    <w:p w14:paraId="5CEF547C" w14:textId="41A09B82"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05638EC4"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 xml:space="preserve">odwołania. W związku z prowadzonym monitoringiem wizyjnym, dane będą przechowywane przez okres nie dłuższy niż </w:t>
      </w:r>
      <w:r w:rsidR="00097033">
        <w:rPr>
          <w:rFonts w:asciiTheme="minorHAnsi" w:eastAsia="Arial Narrow" w:hAnsiTheme="minorHAnsi" w:cstheme="minorHAnsi"/>
          <w:sz w:val="20"/>
          <w:szCs w:val="20"/>
        </w:rPr>
        <w:t>3 miesiące</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14:paraId="7877E0E3" w14:textId="27BAE920"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14:paraId="3F0A9681" w14:textId="0C1360D8"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14:paraId="632F3A14" w14:textId="073085C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14:paraId="25D3EDCE" w14:textId="73FFAEE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14:paraId="4E56B7D3" w14:textId="086F162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lastRenderedPageBreak/>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14:paraId="6FD6F822" w14:textId="47907D6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14:paraId="24FA326E" w14:textId="0D28AB3F"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Pr>
          <w:rFonts w:asciiTheme="minorHAnsi" w:eastAsia="Arial Narrow" w:hAnsiTheme="minorHAnsi" w:cstheme="minorHAnsi"/>
          <w:sz w:val="20"/>
          <w:szCs w:val="20"/>
        </w:rPr>
        <w:t>;</w:t>
      </w:r>
    </w:p>
    <w:p w14:paraId="2D6D6607" w14:textId="3F52BDA2"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14:paraId="58EFD9A2" w14:textId="77777777"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14:paraId="02ECE52C" w14:textId="59E37195"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0241C8D5" w14:textId="543A9609"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Odbiorcy danych:</w:t>
      </w:r>
    </w:p>
    <w:p w14:paraId="091ECF59" w14:textId="7BC75ED8"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14:paraId="10AF6475" w14:textId="1AED7761"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14:paraId="3249C858" w14:textId="713B929F"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14:paraId="1574E203" w14:textId="1A3830E7"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14:paraId="503DE1A9" w14:textId="7A18E254"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14:paraId="6779CDC2" w14:textId="0727DC3A"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14:paraId="6AC32543" w14:textId="350AE058"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14:paraId="7DA992F3" w14:textId="5314FDA3"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14:paraId="67534388" w14:textId="6CDAD266" w:rsidR="006902C0" w:rsidRDefault="006902C0"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6902C0">
        <w:rPr>
          <w:rFonts w:asciiTheme="minorHAnsi" w:eastAsia="Arial Narrow" w:hAnsiTheme="minorHAnsi" w:cstheme="minorHAnsi"/>
          <w:sz w:val="20"/>
          <w:szCs w:val="20"/>
          <w:lang w:eastAsia="en-US"/>
        </w:rPr>
        <w:t>Radcy prawni świadczący obsługę prawną</w:t>
      </w:r>
      <w:r>
        <w:rPr>
          <w:rFonts w:asciiTheme="minorHAnsi" w:eastAsia="Arial Narrow" w:hAnsiTheme="minorHAnsi" w:cstheme="minorHAnsi"/>
          <w:sz w:val="20"/>
          <w:szCs w:val="20"/>
          <w:lang w:eastAsia="en-US"/>
        </w:rPr>
        <w:t>;</w:t>
      </w:r>
    </w:p>
    <w:p w14:paraId="210E8B70" w14:textId="5B7A2DD3"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14:paraId="794AF55C" w14:textId="0021B0CB"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14:paraId="4C41A379" w14:textId="149B6E36"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Informatyki Lasów Państwowych w zakresie utrzymania baz danych systemów informatycznych;</w:t>
      </w:r>
    </w:p>
    <w:p w14:paraId="3784D0E9" w14:textId="585DB748" w:rsidR="006A387C" w:rsidRPr="006902C0" w:rsidRDefault="00B16AE1" w:rsidP="006902C0">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14:paraId="30A818AF" w14:textId="1E4D2897"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w:t>
      </w:r>
    </w:p>
    <w:p w14:paraId="6403C722" w14:textId="1B45848C"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14:paraId="09F0110B" w14:textId="77777777"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569A3C44"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14:paraId="547F12F8" w14:textId="174F5B94"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14:paraId="0A04B3A7" w14:textId="5F3FFB0F"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14:paraId="44E10A1B" w14:textId="237C34B9"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lastRenderedPageBreak/>
        <w:t xml:space="preserve">W przypadku </w:t>
      </w:r>
      <w:r w:rsidR="0024743A">
        <w:rPr>
          <w:rFonts w:asciiTheme="minorHAnsi" w:eastAsia="Arial Narrow,Calibri" w:hAnsiTheme="minorHAnsi" w:cstheme="minorHAnsi"/>
          <w:sz w:val="20"/>
          <w:szCs w:val="20"/>
        </w:rPr>
        <w:t>postępowania windykacyjnego dane możemy pozyskać od komornika;</w:t>
      </w:r>
    </w:p>
    <w:p w14:paraId="3305AE89" w14:textId="681E4883"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14:paraId="0424C8AA" w14:textId="2277EA05"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14:paraId="6D5997AF" w14:textId="145FDC67"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14:paraId="1C18CFE1" w14:textId="77AF15F0"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14:paraId="44DBD496" w14:textId="111ADDC2"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14:paraId="4EBA1818" w14:textId="60918E57" w:rsidR="006902C0" w:rsidRDefault="006902C0"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realizowania zamówień publicznych, dane możemy pozyskiwać od oferentów, wykonawców.</w:t>
      </w:r>
    </w:p>
    <w:p w14:paraId="4B0E8B21" w14:textId="4999A3F1" w:rsidR="00B87889" w:rsidRDefault="00B87889"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współpracy z kontrahentami/dostawcy/podwykonawcą – od Twojego mocodawcy.</w:t>
      </w:r>
    </w:p>
    <w:p w14:paraId="7C233E06" w14:textId="77777777"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31BB2944" w14:textId="7C401533"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14:paraId="1EE03D47" w14:textId="72A0DD1E"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14:paraId="70F9DE47" w14:textId="47B8FEDE"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9DA8" w14:textId="77777777" w:rsidR="00DA0507" w:rsidRDefault="00DA0507" w:rsidP="00D50B04">
      <w:r>
        <w:separator/>
      </w:r>
    </w:p>
  </w:endnote>
  <w:endnote w:type="continuationSeparator" w:id="0">
    <w:p w14:paraId="38AD0AE6" w14:textId="77777777" w:rsidR="00DA0507" w:rsidRDefault="00DA0507" w:rsidP="00D50B04">
      <w:r>
        <w:continuationSeparator/>
      </w:r>
    </w:p>
  </w:endnote>
  <w:endnote w:type="continuationNotice" w:id="1">
    <w:p w14:paraId="37A55A75" w14:textId="77777777" w:rsidR="00DA0507" w:rsidRDefault="00DA0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1234" w14:textId="77777777" w:rsidR="00DA0507" w:rsidRDefault="00DA0507" w:rsidP="00D50B04">
      <w:r>
        <w:separator/>
      </w:r>
    </w:p>
  </w:footnote>
  <w:footnote w:type="continuationSeparator" w:id="0">
    <w:p w14:paraId="023F6D50" w14:textId="77777777" w:rsidR="00DA0507" w:rsidRDefault="00DA0507" w:rsidP="00D50B04">
      <w:r>
        <w:continuationSeparator/>
      </w:r>
    </w:p>
  </w:footnote>
  <w:footnote w:type="continuationNotice" w:id="1">
    <w:p w14:paraId="04826736" w14:textId="77777777" w:rsidR="00DA0507" w:rsidRDefault="00DA05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9079973">
    <w:abstractNumId w:val="19"/>
  </w:num>
  <w:num w:numId="2" w16cid:durableId="1169246299">
    <w:abstractNumId w:val="20"/>
  </w:num>
  <w:num w:numId="3" w16cid:durableId="1497575814">
    <w:abstractNumId w:val="1"/>
  </w:num>
  <w:num w:numId="4" w16cid:durableId="1233809800">
    <w:abstractNumId w:val="7"/>
  </w:num>
  <w:num w:numId="5" w16cid:durableId="1119645713">
    <w:abstractNumId w:val="21"/>
  </w:num>
  <w:num w:numId="6" w16cid:durableId="950086649">
    <w:abstractNumId w:val="15"/>
  </w:num>
  <w:num w:numId="7" w16cid:durableId="156121325">
    <w:abstractNumId w:val="4"/>
  </w:num>
  <w:num w:numId="8" w16cid:durableId="1373925712">
    <w:abstractNumId w:val="8"/>
  </w:num>
  <w:num w:numId="9" w16cid:durableId="139427630">
    <w:abstractNumId w:val="3"/>
  </w:num>
  <w:num w:numId="10" w16cid:durableId="251668154">
    <w:abstractNumId w:val="22"/>
  </w:num>
  <w:num w:numId="11" w16cid:durableId="1628124218">
    <w:abstractNumId w:val="16"/>
  </w:num>
  <w:num w:numId="12" w16cid:durableId="733435415">
    <w:abstractNumId w:val="10"/>
  </w:num>
  <w:num w:numId="13" w16cid:durableId="651447821">
    <w:abstractNumId w:val="18"/>
  </w:num>
  <w:num w:numId="14" w16cid:durableId="1498688430">
    <w:abstractNumId w:val="23"/>
  </w:num>
  <w:num w:numId="15" w16cid:durableId="1542013455">
    <w:abstractNumId w:val="14"/>
  </w:num>
  <w:num w:numId="16" w16cid:durableId="189488445">
    <w:abstractNumId w:val="2"/>
  </w:num>
  <w:num w:numId="17" w16cid:durableId="779690037">
    <w:abstractNumId w:val="0"/>
  </w:num>
  <w:num w:numId="18" w16cid:durableId="349452245">
    <w:abstractNumId w:val="11"/>
  </w:num>
  <w:num w:numId="19" w16cid:durableId="287123405">
    <w:abstractNumId w:val="6"/>
  </w:num>
  <w:num w:numId="20" w16cid:durableId="1504012993">
    <w:abstractNumId w:val="5"/>
  </w:num>
  <w:num w:numId="21" w16cid:durableId="2123835722">
    <w:abstractNumId w:val="9"/>
  </w:num>
  <w:num w:numId="22" w16cid:durableId="1131560351">
    <w:abstractNumId w:val="12"/>
  </w:num>
  <w:num w:numId="23" w16cid:durableId="1415935018">
    <w:abstractNumId w:val="17"/>
  </w:num>
  <w:num w:numId="24" w16cid:durableId="12268393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1228"/>
    <w:rsid w:val="0008207A"/>
    <w:rsid w:val="0008330D"/>
    <w:rsid w:val="00085160"/>
    <w:rsid w:val="00092359"/>
    <w:rsid w:val="00097033"/>
    <w:rsid w:val="000A73C7"/>
    <w:rsid w:val="000B499E"/>
    <w:rsid w:val="000B4D3E"/>
    <w:rsid w:val="000B5766"/>
    <w:rsid w:val="000B656E"/>
    <w:rsid w:val="000D3705"/>
    <w:rsid w:val="000F485B"/>
    <w:rsid w:val="00101F6F"/>
    <w:rsid w:val="00103110"/>
    <w:rsid w:val="00103BEC"/>
    <w:rsid w:val="001063F3"/>
    <w:rsid w:val="001116DC"/>
    <w:rsid w:val="0012477A"/>
    <w:rsid w:val="00127819"/>
    <w:rsid w:val="00133420"/>
    <w:rsid w:val="0013343D"/>
    <w:rsid w:val="00137DCF"/>
    <w:rsid w:val="00140870"/>
    <w:rsid w:val="00152D72"/>
    <w:rsid w:val="00153C6A"/>
    <w:rsid w:val="00155624"/>
    <w:rsid w:val="001623AF"/>
    <w:rsid w:val="001652C0"/>
    <w:rsid w:val="0017390D"/>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1E675F"/>
    <w:rsid w:val="0020465F"/>
    <w:rsid w:val="00205382"/>
    <w:rsid w:val="00206C7E"/>
    <w:rsid w:val="0021191F"/>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55E8"/>
    <w:rsid w:val="002E1FF8"/>
    <w:rsid w:val="002E4E10"/>
    <w:rsid w:val="0030197A"/>
    <w:rsid w:val="003075C8"/>
    <w:rsid w:val="0031156B"/>
    <w:rsid w:val="00315219"/>
    <w:rsid w:val="00316FC3"/>
    <w:rsid w:val="003215C3"/>
    <w:rsid w:val="00322508"/>
    <w:rsid w:val="0032457F"/>
    <w:rsid w:val="00326848"/>
    <w:rsid w:val="003536F9"/>
    <w:rsid w:val="00364444"/>
    <w:rsid w:val="003752E1"/>
    <w:rsid w:val="0038706E"/>
    <w:rsid w:val="003906F9"/>
    <w:rsid w:val="003A2EDE"/>
    <w:rsid w:val="003A46CC"/>
    <w:rsid w:val="003B0DE0"/>
    <w:rsid w:val="003B682A"/>
    <w:rsid w:val="003B7153"/>
    <w:rsid w:val="003B76B4"/>
    <w:rsid w:val="003C1219"/>
    <w:rsid w:val="003C528C"/>
    <w:rsid w:val="003C58EA"/>
    <w:rsid w:val="003E3441"/>
    <w:rsid w:val="003E3493"/>
    <w:rsid w:val="003F09EF"/>
    <w:rsid w:val="003F2FE9"/>
    <w:rsid w:val="003F44FA"/>
    <w:rsid w:val="0041305E"/>
    <w:rsid w:val="004152E1"/>
    <w:rsid w:val="004214E5"/>
    <w:rsid w:val="00422084"/>
    <w:rsid w:val="004246FE"/>
    <w:rsid w:val="004259EC"/>
    <w:rsid w:val="004355EE"/>
    <w:rsid w:val="00436393"/>
    <w:rsid w:val="00440C7C"/>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366C"/>
    <w:rsid w:val="00644E71"/>
    <w:rsid w:val="006501D0"/>
    <w:rsid w:val="00674BEB"/>
    <w:rsid w:val="006756D0"/>
    <w:rsid w:val="0068560E"/>
    <w:rsid w:val="00686614"/>
    <w:rsid w:val="006902C0"/>
    <w:rsid w:val="006909D6"/>
    <w:rsid w:val="006928B7"/>
    <w:rsid w:val="00695E6F"/>
    <w:rsid w:val="0069642B"/>
    <w:rsid w:val="00696A73"/>
    <w:rsid w:val="006A387C"/>
    <w:rsid w:val="006A3D49"/>
    <w:rsid w:val="006A55D4"/>
    <w:rsid w:val="006B175E"/>
    <w:rsid w:val="006B5FE7"/>
    <w:rsid w:val="006C0988"/>
    <w:rsid w:val="006D5B8F"/>
    <w:rsid w:val="006E298D"/>
    <w:rsid w:val="006E4366"/>
    <w:rsid w:val="006F404B"/>
    <w:rsid w:val="006F41E3"/>
    <w:rsid w:val="006F5D4F"/>
    <w:rsid w:val="0072058C"/>
    <w:rsid w:val="00721E30"/>
    <w:rsid w:val="007230F0"/>
    <w:rsid w:val="007232B2"/>
    <w:rsid w:val="00742B43"/>
    <w:rsid w:val="00755F1A"/>
    <w:rsid w:val="007563AA"/>
    <w:rsid w:val="0075781E"/>
    <w:rsid w:val="007749A5"/>
    <w:rsid w:val="00775424"/>
    <w:rsid w:val="007918B0"/>
    <w:rsid w:val="007927A9"/>
    <w:rsid w:val="007A7ADB"/>
    <w:rsid w:val="007B647A"/>
    <w:rsid w:val="007B7880"/>
    <w:rsid w:val="007C120D"/>
    <w:rsid w:val="007D6586"/>
    <w:rsid w:val="007E1677"/>
    <w:rsid w:val="007F0831"/>
    <w:rsid w:val="007F45B8"/>
    <w:rsid w:val="007F6D9E"/>
    <w:rsid w:val="00803E30"/>
    <w:rsid w:val="00810C8B"/>
    <w:rsid w:val="00811AD0"/>
    <w:rsid w:val="00814A00"/>
    <w:rsid w:val="00817CC1"/>
    <w:rsid w:val="00851A2E"/>
    <w:rsid w:val="00855A38"/>
    <w:rsid w:val="00857F9F"/>
    <w:rsid w:val="0086481C"/>
    <w:rsid w:val="00866AE5"/>
    <w:rsid w:val="008672B1"/>
    <w:rsid w:val="00870B9F"/>
    <w:rsid w:val="008753C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8FB51D"/>
    <w:rsid w:val="009010C6"/>
    <w:rsid w:val="00905283"/>
    <w:rsid w:val="00917452"/>
    <w:rsid w:val="00920C8C"/>
    <w:rsid w:val="00924B8E"/>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F7E"/>
    <w:rsid w:val="009E162C"/>
    <w:rsid w:val="00A17585"/>
    <w:rsid w:val="00A24996"/>
    <w:rsid w:val="00A320AF"/>
    <w:rsid w:val="00A34CA0"/>
    <w:rsid w:val="00A404AB"/>
    <w:rsid w:val="00A40B81"/>
    <w:rsid w:val="00A56D68"/>
    <w:rsid w:val="00A65453"/>
    <w:rsid w:val="00A70105"/>
    <w:rsid w:val="00A8299A"/>
    <w:rsid w:val="00A830E9"/>
    <w:rsid w:val="00A84120"/>
    <w:rsid w:val="00A84E0E"/>
    <w:rsid w:val="00AA063D"/>
    <w:rsid w:val="00AA1C04"/>
    <w:rsid w:val="00AB09E0"/>
    <w:rsid w:val="00AB1E63"/>
    <w:rsid w:val="00AB2991"/>
    <w:rsid w:val="00AB2BE5"/>
    <w:rsid w:val="00AC48C8"/>
    <w:rsid w:val="00AD0BF2"/>
    <w:rsid w:val="00AD1B18"/>
    <w:rsid w:val="00AD298D"/>
    <w:rsid w:val="00AD5D9C"/>
    <w:rsid w:val="00AF271A"/>
    <w:rsid w:val="00AF3FFD"/>
    <w:rsid w:val="00AF4D3C"/>
    <w:rsid w:val="00AF749A"/>
    <w:rsid w:val="00AF7CDC"/>
    <w:rsid w:val="00B152ED"/>
    <w:rsid w:val="00B16AE1"/>
    <w:rsid w:val="00B378E1"/>
    <w:rsid w:val="00B379E7"/>
    <w:rsid w:val="00B40B32"/>
    <w:rsid w:val="00B51F02"/>
    <w:rsid w:val="00B64428"/>
    <w:rsid w:val="00B7304A"/>
    <w:rsid w:val="00B763EA"/>
    <w:rsid w:val="00B77666"/>
    <w:rsid w:val="00B84162"/>
    <w:rsid w:val="00B87889"/>
    <w:rsid w:val="00B93EDB"/>
    <w:rsid w:val="00BA291A"/>
    <w:rsid w:val="00BB60D8"/>
    <w:rsid w:val="00BB6AC0"/>
    <w:rsid w:val="00BC5EBB"/>
    <w:rsid w:val="00BC6D90"/>
    <w:rsid w:val="00BC7514"/>
    <w:rsid w:val="00BD1346"/>
    <w:rsid w:val="00BD45FB"/>
    <w:rsid w:val="00BE001A"/>
    <w:rsid w:val="00BE0AFD"/>
    <w:rsid w:val="00BE22F7"/>
    <w:rsid w:val="00BE3CB0"/>
    <w:rsid w:val="00BF425D"/>
    <w:rsid w:val="00C01924"/>
    <w:rsid w:val="00C1215E"/>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D2261"/>
    <w:rsid w:val="00CD5C7C"/>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90128"/>
    <w:rsid w:val="00D92B27"/>
    <w:rsid w:val="00DA050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6D06"/>
    <w:rsid w:val="00E748C0"/>
    <w:rsid w:val="00E776D5"/>
    <w:rsid w:val="00E953D3"/>
    <w:rsid w:val="00E96EF9"/>
    <w:rsid w:val="00E96F00"/>
    <w:rsid w:val="00EA3801"/>
    <w:rsid w:val="00EB0EF8"/>
    <w:rsid w:val="00EC4BDD"/>
    <w:rsid w:val="00EC4E4B"/>
    <w:rsid w:val="00EC6BD8"/>
    <w:rsid w:val="00EC7056"/>
    <w:rsid w:val="00ED5526"/>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6046"/>
    <w:rsid w:val="00F728DF"/>
    <w:rsid w:val="00F73F8C"/>
    <w:rsid w:val="00F8283F"/>
    <w:rsid w:val="00F86161"/>
    <w:rsid w:val="00F861F5"/>
    <w:rsid w:val="00F90832"/>
    <w:rsid w:val="00F9514C"/>
    <w:rsid w:val="00FA3A69"/>
    <w:rsid w:val="00FA436D"/>
    <w:rsid w:val="00FB1251"/>
    <w:rsid w:val="00FD792B"/>
    <w:rsid w:val="00FE4892"/>
    <w:rsid w:val="00FE699A"/>
    <w:rsid w:val="00FF0ECC"/>
    <w:rsid w:val="00FF7B0B"/>
    <w:rsid w:val="0BBC138D"/>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0A321"/>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iedzylesie@wroclaw.lasy.gov.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49DA925A8F7F43A605F0BEF0A46A68" ma:contentTypeVersion="20" ma:contentTypeDescription="Utwórz nowy dokument." ma:contentTypeScope="" ma:versionID="0c5721c9ecb7e23fc161f0b3adcd8901">
  <xsd:schema xmlns:xsd="http://www.w3.org/2001/XMLSchema" xmlns:xs="http://www.w3.org/2001/XMLSchema" xmlns:p="http://schemas.microsoft.com/office/2006/metadata/properties" xmlns:ns1="http://schemas.microsoft.com/sharepoint/v3" xmlns:ns2="7f6c0a68-4d2c-42d2-930d-99f8a51f483e" xmlns:ns3="537b51fa-af5e-4e58-9095-9550eb2059f0" targetNamespace="http://schemas.microsoft.com/office/2006/metadata/properties" ma:root="true" ma:fieldsID="c16dcfe416f6acd3b6a6caa0f05c3cec" ns1:_="" ns2:_="" ns3:_="">
    <xsd:import namespace="http://schemas.microsoft.com/sharepoint/v3"/>
    <xsd:import namespace="7f6c0a68-4d2c-42d2-930d-99f8a51f483e"/>
    <xsd:import namespace="537b51fa-af5e-4e58-9095-9550eb205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TaxCatchAll" ma:index="23" nillable="true" ma:displayName="Taxonomy Catch All Column" ma:hidden="true" ma:list="{5bdbff7b-a988-4afc-9aeb-382c71d04f66}" ma:internalName="TaxCatchAll" ma:showField="CatchAllData" ma:web="7f6c0a68-4d2c-42d2-930d-99f8a51f48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7b51fa-af5e-4e58-9095-9550eb2059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i obrazów" ma:readOnly="false" ma:fieldId="{5cf76f15-5ced-4ddc-b409-7134ff3c332f}" ma:taxonomyMulti="true" ma:sspId="efe247d1-6606-4567-af2a-bf1383f3e3a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f6c0a68-4d2c-42d2-930d-99f8a51f483e" xsi:nil="true"/>
    <_ip_UnifiedCompliancePolicyProperties xmlns="http://schemas.microsoft.com/sharepoint/v3" xsi:nil="true"/>
    <lcf76f155ced4ddcb4097134ff3c332f xmlns="537b51fa-af5e-4e58-9095-9550eb2059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78EE6E-9E85-44BB-8C6C-CFEFA87CA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6c0a68-4d2c-42d2-930d-99f8a51f483e"/>
    <ds:schemaRef ds:uri="537b51fa-af5e-4e58-9095-9550eb205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6F635-8D23-4DEB-BB3C-81329E688713}">
  <ds:schemaRefs>
    <ds:schemaRef ds:uri="http://schemas.microsoft.com/sharepoint/v3/contenttype/forms"/>
  </ds:schemaRefs>
</ds:datastoreItem>
</file>

<file path=customXml/itemProps3.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 ds:uri="http://schemas.microsoft.com/sharepoint/v3"/>
    <ds:schemaRef ds:uri="7f6c0a68-4d2c-42d2-930d-99f8a51f483e"/>
    <ds:schemaRef ds:uri="537b51fa-af5e-4e58-9095-9550eb2059f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2705</Words>
  <Characters>16236</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Tomasz Nowiński</cp:lastModifiedBy>
  <cp:revision>4</cp:revision>
  <dcterms:created xsi:type="dcterms:W3CDTF">2023-01-12T12:03:00Z</dcterms:created>
  <dcterms:modified xsi:type="dcterms:W3CDTF">2023-01-12T12:18:00Z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0x010100CE49DA925A8F7F43A605F0BEF0A46A68</vt:lpwstr>
  </property>
  <property fmtid="{D5CDD505-2E9C-101B-9397-08002B2CF9AE}" pid="3" name="AuthorIds_UIVersion_28160">
    <vt:lpwstr>39</vt:lpwstr>
  </property>
</Properties>
</file>